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82" w:type="dxa"/>
        <w:tblInd w:w="-1281" w:type="dxa"/>
        <w:tblLook w:val="04A0" w:firstRow="1" w:lastRow="0" w:firstColumn="1" w:lastColumn="0" w:noHBand="0" w:noVBand="1"/>
      </w:tblPr>
      <w:tblGrid>
        <w:gridCol w:w="398"/>
        <w:gridCol w:w="464"/>
        <w:gridCol w:w="4641"/>
        <w:gridCol w:w="5979"/>
      </w:tblGrid>
      <w:tr w:rsidR="00323436" w:rsidRPr="004F5C78" w14:paraId="38B694B0" w14:textId="77777777" w:rsidTr="004F5C78">
        <w:tc>
          <w:tcPr>
            <w:tcW w:w="0" w:type="auto"/>
          </w:tcPr>
          <w:p w14:paraId="278A7B38" w14:textId="77777777" w:rsidR="00323436" w:rsidRPr="004F5C78" w:rsidRDefault="00323436" w:rsidP="00FD7F6D">
            <w:pPr>
              <w:rPr>
                <w:sz w:val="14"/>
                <w:szCs w:val="14"/>
              </w:rPr>
            </w:pPr>
          </w:p>
        </w:tc>
        <w:tc>
          <w:tcPr>
            <w:tcW w:w="465" w:type="dxa"/>
          </w:tcPr>
          <w:p w14:paraId="06A5E6F8" w14:textId="77777777" w:rsidR="00323436" w:rsidRPr="004F5C78" w:rsidRDefault="00323436" w:rsidP="00FD7F6D">
            <w:pPr>
              <w:rPr>
                <w:sz w:val="14"/>
                <w:szCs w:val="14"/>
              </w:rPr>
            </w:pPr>
          </w:p>
        </w:tc>
        <w:tc>
          <w:tcPr>
            <w:tcW w:w="10632" w:type="dxa"/>
            <w:gridSpan w:val="2"/>
          </w:tcPr>
          <w:p w14:paraId="2E7424DA" w14:textId="24744492" w:rsidR="00323436" w:rsidRPr="004F5C78" w:rsidRDefault="00FB1031" w:rsidP="00323436">
            <w:pPr>
              <w:jc w:val="center"/>
              <w:rPr>
                <w:rFonts w:ascii="Calibri" w:hAnsi="Calibri"/>
                <w:b/>
                <w:bCs/>
                <w:color w:val="0000FF"/>
                <w:sz w:val="14"/>
                <w:szCs w:val="14"/>
              </w:rPr>
            </w:pPr>
            <w:r w:rsidRPr="004F5C78">
              <w:rPr>
                <w:rFonts w:ascii="Calibri" w:hAnsi="Calibri"/>
                <w:b/>
                <w:bCs/>
                <w:color w:val="0000FF"/>
                <w:sz w:val="14"/>
                <w:szCs w:val="14"/>
              </w:rPr>
              <w:t>Upper</w:t>
            </w:r>
            <w:r w:rsidR="00323436" w:rsidRPr="004F5C78">
              <w:rPr>
                <w:rFonts w:ascii="Calibri" w:hAnsi="Calibri"/>
                <w:b/>
                <w:bCs/>
                <w:color w:val="0000FF"/>
                <w:sz w:val="14"/>
                <w:szCs w:val="14"/>
              </w:rPr>
              <w:t xml:space="preserve"> KS2</w:t>
            </w:r>
          </w:p>
        </w:tc>
      </w:tr>
      <w:tr w:rsidR="00FB1031" w:rsidRPr="004F5C78" w14:paraId="28243683" w14:textId="77777777" w:rsidTr="004F5C78">
        <w:tc>
          <w:tcPr>
            <w:tcW w:w="0" w:type="auto"/>
          </w:tcPr>
          <w:p w14:paraId="2792892F" w14:textId="77777777" w:rsidR="00FD7F6D" w:rsidRPr="004F5C78" w:rsidRDefault="00FD7F6D" w:rsidP="00FD7F6D">
            <w:pPr>
              <w:rPr>
                <w:sz w:val="14"/>
                <w:szCs w:val="14"/>
              </w:rPr>
            </w:pPr>
          </w:p>
        </w:tc>
        <w:tc>
          <w:tcPr>
            <w:tcW w:w="465" w:type="dxa"/>
          </w:tcPr>
          <w:p w14:paraId="3BA5935C" w14:textId="77777777" w:rsidR="00FD7F6D" w:rsidRPr="004F5C78" w:rsidRDefault="00FD7F6D" w:rsidP="00FD7F6D">
            <w:pPr>
              <w:rPr>
                <w:sz w:val="14"/>
                <w:szCs w:val="14"/>
              </w:rPr>
            </w:pPr>
          </w:p>
        </w:tc>
        <w:tc>
          <w:tcPr>
            <w:tcW w:w="4646" w:type="dxa"/>
          </w:tcPr>
          <w:p w14:paraId="6818A4D1" w14:textId="0CBDBC8B" w:rsidR="00FD7F6D" w:rsidRPr="004F5C78" w:rsidRDefault="00FD7F6D" w:rsidP="00323436">
            <w:pPr>
              <w:jc w:val="center"/>
              <w:rPr>
                <w:rFonts w:ascii="Calibri" w:hAnsi="Calibri"/>
                <w:b/>
                <w:bCs/>
                <w:color w:val="0000FF"/>
                <w:sz w:val="14"/>
                <w:szCs w:val="14"/>
              </w:rPr>
            </w:pPr>
            <w:r w:rsidRPr="004F5C78">
              <w:rPr>
                <w:rFonts w:ascii="Calibri" w:hAnsi="Calibri"/>
                <w:b/>
                <w:bCs/>
                <w:color w:val="0000FF"/>
                <w:sz w:val="14"/>
                <w:szCs w:val="14"/>
              </w:rPr>
              <w:t>Y</w:t>
            </w:r>
            <w:r w:rsidR="00FB1031" w:rsidRPr="004F5C78">
              <w:rPr>
                <w:rFonts w:ascii="Calibri" w:hAnsi="Calibri"/>
                <w:b/>
                <w:bCs/>
                <w:color w:val="0000FF"/>
                <w:sz w:val="14"/>
                <w:szCs w:val="14"/>
              </w:rPr>
              <w:t>5</w:t>
            </w:r>
            <w:r w:rsidRPr="004F5C78">
              <w:rPr>
                <w:rFonts w:ascii="Calibri" w:hAnsi="Calibri"/>
                <w:b/>
                <w:bCs/>
                <w:color w:val="0000FF"/>
                <w:sz w:val="14"/>
                <w:szCs w:val="14"/>
              </w:rPr>
              <w:t>- Pupils should be taught to:</w:t>
            </w:r>
          </w:p>
        </w:tc>
        <w:tc>
          <w:tcPr>
            <w:tcW w:w="5986" w:type="dxa"/>
          </w:tcPr>
          <w:p w14:paraId="5A130E9B" w14:textId="469836CF" w:rsidR="00FD7F6D" w:rsidRPr="004F5C78" w:rsidRDefault="00FD7F6D" w:rsidP="00323436">
            <w:pPr>
              <w:jc w:val="center"/>
              <w:rPr>
                <w:rFonts w:ascii="Calibri" w:hAnsi="Calibri"/>
                <w:b/>
                <w:bCs/>
                <w:color w:val="0000FF"/>
                <w:sz w:val="14"/>
                <w:szCs w:val="14"/>
              </w:rPr>
            </w:pPr>
            <w:r w:rsidRPr="004F5C78">
              <w:rPr>
                <w:rFonts w:ascii="Calibri" w:hAnsi="Calibri"/>
                <w:b/>
                <w:bCs/>
                <w:color w:val="0000FF"/>
                <w:sz w:val="14"/>
                <w:szCs w:val="14"/>
              </w:rPr>
              <w:t>Y</w:t>
            </w:r>
            <w:r w:rsidR="00FB1031" w:rsidRPr="004F5C78">
              <w:rPr>
                <w:rFonts w:ascii="Calibri" w:hAnsi="Calibri"/>
                <w:b/>
                <w:bCs/>
                <w:color w:val="0000FF"/>
                <w:sz w:val="14"/>
                <w:szCs w:val="14"/>
              </w:rPr>
              <w:t>6</w:t>
            </w:r>
            <w:r w:rsidRPr="004F5C78">
              <w:rPr>
                <w:rFonts w:ascii="Calibri" w:hAnsi="Calibri"/>
                <w:b/>
                <w:bCs/>
                <w:color w:val="0000FF"/>
                <w:sz w:val="14"/>
                <w:szCs w:val="14"/>
              </w:rPr>
              <w:t>- Pupils should be taught to:</w:t>
            </w:r>
          </w:p>
        </w:tc>
      </w:tr>
      <w:tr w:rsidR="004F5C78" w:rsidRPr="004F5C78" w14:paraId="340C343B" w14:textId="77777777" w:rsidTr="004F5C78">
        <w:trPr>
          <w:cantSplit/>
          <w:trHeight w:val="1134"/>
        </w:trPr>
        <w:tc>
          <w:tcPr>
            <w:tcW w:w="0" w:type="auto"/>
            <w:vMerge w:val="restart"/>
            <w:textDirection w:val="btLr"/>
          </w:tcPr>
          <w:p w14:paraId="63E93914" w14:textId="4BEBD3AF" w:rsidR="004F5C78" w:rsidRPr="004F5C78" w:rsidRDefault="004F5C78" w:rsidP="004F5C78">
            <w:pPr>
              <w:ind w:left="113" w:right="113"/>
              <w:jc w:val="center"/>
              <w:rPr>
                <w:b/>
                <w:bCs/>
                <w:sz w:val="14"/>
                <w:szCs w:val="14"/>
              </w:rPr>
            </w:pPr>
            <w:r w:rsidRPr="004F5C78">
              <w:rPr>
                <w:rFonts w:ascii="Calibri" w:hAnsi="Calibri" w:cs="Arial"/>
                <w:b/>
                <w:bCs/>
                <w:color w:val="0000FF"/>
                <w:sz w:val="14"/>
                <w:szCs w:val="14"/>
              </w:rPr>
              <w:t>Biology</w:t>
            </w:r>
          </w:p>
        </w:tc>
        <w:tc>
          <w:tcPr>
            <w:tcW w:w="465" w:type="dxa"/>
            <w:textDirection w:val="btLr"/>
          </w:tcPr>
          <w:p w14:paraId="053FAF60" w14:textId="0A6B7598"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Animals including humans</w:t>
            </w:r>
          </w:p>
        </w:tc>
        <w:tc>
          <w:tcPr>
            <w:tcW w:w="4646" w:type="dxa"/>
          </w:tcPr>
          <w:p w14:paraId="00021940"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describe the changes as humans develop to old age</w:t>
            </w:r>
          </w:p>
          <w:p w14:paraId="6B8F5FB9" w14:textId="77777777" w:rsidR="004F5C78" w:rsidRPr="004F5C78" w:rsidRDefault="004F5C78" w:rsidP="004F5C78">
            <w:pPr>
              <w:rPr>
                <w:rFonts w:ascii="Calibri Light" w:hAnsi="Calibri Light" w:cs="Calibri Light"/>
                <w:color w:val="FF0000"/>
                <w:sz w:val="14"/>
                <w:szCs w:val="14"/>
              </w:rPr>
            </w:pPr>
            <w:r w:rsidRPr="004F5C78">
              <w:rPr>
                <w:rFonts w:ascii="Calibri" w:hAnsi="Calibri" w:cs="Arial"/>
                <w:color w:val="0000FF"/>
                <w:sz w:val="14"/>
                <w:szCs w:val="14"/>
              </w:rPr>
              <w:t xml:space="preserve"> </w:t>
            </w:r>
          </w:p>
          <w:p w14:paraId="7658343E" w14:textId="77777777" w:rsidR="004F5C78" w:rsidRPr="004F5C78" w:rsidRDefault="004F5C78" w:rsidP="004F5C78">
            <w:pPr>
              <w:rPr>
                <w:rFonts w:ascii="Calibri Light" w:hAnsi="Calibri Light" w:cs="Calibri Light"/>
                <w:color w:val="FF0000"/>
                <w:sz w:val="14"/>
                <w:szCs w:val="14"/>
              </w:rPr>
            </w:pPr>
            <w:r w:rsidRPr="004F5C78">
              <w:rPr>
                <w:rFonts w:ascii="Calibri Light" w:hAnsi="Calibri Light" w:cs="Calibri Light"/>
                <w:color w:val="FF0000"/>
                <w:sz w:val="14"/>
                <w:szCs w:val="14"/>
              </w:rPr>
              <w:t>Foetus, Embryo, Womb, Gestation, Baby, Toddler, Teenager, Elderly, Growth, Development, Puberty, Hormone, Physical, Emotional,</w:t>
            </w:r>
          </w:p>
          <w:p w14:paraId="7737BA0F" w14:textId="4A4E3345" w:rsidR="004F5C78" w:rsidRPr="004F5C78" w:rsidRDefault="004F5C78" w:rsidP="004F5C78">
            <w:pPr>
              <w:rPr>
                <w:sz w:val="14"/>
                <w:szCs w:val="14"/>
              </w:rPr>
            </w:pPr>
          </w:p>
        </w:tc>
        <w:tc>
          <w:tcPr>
            <w:tcW w:w="5986" w:type="dxa"/>
          </w:tcPr>
          <w:p w14:paraId="30D915DA"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identify and name the main parts of the human circulatory system, and describe the functions of the heart, blood vessels and blood</w:t>
            </w:r>
          </w:p>
          <w:p w14:paraId="13281242"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recognise the impact of diet, exercise, drugs and lifestyle on the way their </w:t>
            </w:r>
            <w:proofErr w:type="gramStart"/>
            <w:r w:rsidRPr="004F5C78">
              <w:rPr>
                <w:rFonts w:ascii="Calibri" w:hAnsi="Calibri" w:cs="Arial"/>
                <w:color w:val="0000FF"/>
                <w:sz w:val="14"/>
                <w:szCs w:val="14"/>
              </w:rPr>
              <w:t>bodies</w:t>
            </w:r>
            <w:proofErr w:type="gramEnd"/>
            <w:r w:rsidRPr="004F5C78">
              <w:rPr>
                <w:rFonts w:ascii="Calibri" w:hAnsi="Calibri" w:cs="Arial"/>
                <w:color w:val="0000FF"/>
                <w:sz w:val="14"/>
                <w:szCs w:val="14"/>
              </w:rPr>
              <w:t xml:space="preserve"> function</w:t>
            </w:r>
          </w:p>
          <w:p w14:paraId="03511B16"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describe the ways in which nutrients and water are transported within animals, including humans</w:t>
            </w:r>
          </w:p>
          <w:p w14:paraId="2FE9B687" w14:textId="5988DBCE" w:rsidR="004F5C78" w:rsidRPr="004F5C78" w:rsidRDefault="004F5C78" w:rsidP="004F5C78">
            <w:pPr>
              <w:rPr>
                <w:sz w:val="14"/>
                <w:szCs w:val="14"/>
              </w:rPr>
            </w:pPr>
            <w:r w:rsidRPr="004F5C78">
              <w:rPr>
                <w:rFonts w:ascii="Calibri Light" w:hAnsi="Calibri Light" w:cs="Calibri Light"/>
                <w:color w:val="FF0000"/>
                <w:sz w:val="14"/>
                <w:szCs w:val="14"/>
              </w:rPr>
              <w:t>Oxygenated, Deoxygenated, Valve, Exercise, Respiration Circulatory system, heart, lungs, blood vessels, blood, artery, vein, pulmonary, alveoli, capillary, digestive, transport, gas exchange, villi, nutrients, water, oxygen, alcohol, drugs, tobacco.</w:t>
            </w:r>
          </w:p>
        </w:tc>
      </w:tr>
      <w:tr w:rsidR="004F5C78" w:rsidRPr="004F5C78" w14:paraId="10D1BC8D" w14:textId="77777777" w:rsidTr="004F5C78">
        <w:trPr>
          <w:cantSplit/>
          <w:trHeight w:val="1134"/>
        </w:trPr>
        <w:tc>
          <w:tcPr>
            <w:tcW w:w="0" w:type="auto"/>
            <w:vMerge/>
            <w:textDirection w:val="btLr"/>
          </w:tcPr>
          <w:p w14:paraId="533C9772" w14:textId="77777777" w:rsidR="004F5C78" w:rsidRPr="004F5C78" w:rsidRDefault="004F5C78" w:rsidP="004F5C78">
            <w:pPr>
              <w:ind w:left="113" w:right="113"/>
              <w:jc w:val="center"/>
              <w:rPr>
                <w:b/>
                <w:bCs/>
                <w:sz w:val="14"/>
                <w:szCs w:val="14"/>
              </w:rPr>
            </w:pPr>
          </w:p>
        </w:tc>
        <w:tc>
          <w:tcPr>
            <w:tcW w:w="465" w:type="dxa"/>
            <w:textDirection w:val="btLr"/>
          </w:tcPr>
          <w:p w14:paraId="568ACC5A" w14:textId="578AFEEA"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Living things and their habitats</w:t>
            </w:r>
          </w:p>
        </w:tc>
        <w:tc>
          <w:tcPr>
            <w:tcW w:w="4646" w:type="dxa"/>
          </w:tcPr>
          <w:p w14:paraId="72654C3F"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describe the differences in the life cycles of a mammal, an amphibian, an insect and a bird</w:t>
            </w:r>
          </w:p>
          <w:p w14:paraId="332AF8A2"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describe the life process of reproduction in some plants and animals </w:t>
            </w:r>
          </w:p>
          <w:p w14:paraId="1291407C" w14:textId="77777777" w:rsidR="004F5C78" w:rsidRPr="004F5C78" w:rsidRDefault="004F5C78" w:rsidP="004F5C78">
            <w:pPr>
              <w:rPr>
                <w:rFonts w:ascii="Calibri Light" w:hAnsi="Calibri Light" w:cs="Calibri Light"/>
                <w:color w:val="FF0000"/>
                <w:sz w:val="14"/>
                <w:szCs w:val="14"/>
              </w:rPr>
            </w:pPr>
            <w:r w:rsidRPr="004F5C78">
              <w:rPr>
                <w:rFonts w:ascii="Calibri Light" w:hAnsi="Calibri Light" w:cs="Calibri Light"/>
                <w:color w:val="FF0000"/>
                <w:sz w:val="14"/>
                <w:szCs w:val="14"/>
              </w:rPr>
              <w:t>Reproduction, Sexual, Asexual, Pollination, Dispersal, reproduction, cell, fertilisation, pollination, male, female, pregnancy, young, mammal, metamorphosis, amphibian, insect, egg, embryo, bird, plant</w:t>
            </w:r>
          </w:p>
          <w:p w14:paraId="25CE6DAA" w14:textId="02D1DC14" w:rsidR="004F5C78" w:rsidRPr="004F5C78" w:rsidRDefault="004F5C78" w:rsidP="004F5C78">
            <w:pPr>
              <w:rPr>
                <w:sz w:val="14"/>
                <w:szCs w:val="14"/>
              </w:rPr>
            </w:pPr>
          </w:p>
        </w:tc>
        <w:tc>
          <w:tcPr>
            <w:tcW w:w="5986" w:type="dxa"/>
          </w:tcPr>
          <w:p w14:paraId="6963A285"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describe how living things are classified into broad groups according to common observable characteristics and based on similarities and differences, </w:t>
            </w:r>
            <w:proofErr w:type="gramStart"/>
            <w:r w:rsidRPr="004F5C78">
              <w:rPr>
                <w:rFonts w:ascii="Calibri" w:hAnsi="Calibri" w:cs="Arial"/>
                <w:color w:val="0000FF"/>
                <w:sz w:val="14"/>
                <w:szCs w:val="14"/>
              </w:rPr>
              <w:t>including  micro</w:t>
            </w:r>
            <w:proofErr w:type="gramEnd"/>
            <w:r w:rsidRPr="004F5C78">
              <w:rPr>
                <w:rFonts w:ascii="Calibri" w:hAnsi="Calibri" w:cs="Arial"/>
                <w:color w:val="0000FF"/>
                <w:sz w:val="14"/>
                <w:szCs w:val="14"/>
              </w:rPr>
              <w:t>-organisms, plants and animals</w:t>
            </w:r>
          </w:p>
          <w:p w14:paraId="2E5EC17A"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give reasons for classifying plants and animals based on specific characteristics </w:t>
            </w:r>
          </w:p>
          <w:p w14:paraId="7B51EBD8" w14:textId="04313426" w:rsidR="004F5C78" w:rsidRPr="004F5C78" w:rsidRDefault="004F5C78" w:rsidP="004F5C78">
            <w:pPr>
              <w:rPr>
                <w:sz w:val="14"/>
                <w:szCs w:val="14"/>
              </w:rPr>
            </w:pPr>
            <w:r w:rsidRPr="004F5C78">
              <w:rPr>
                <w:color w:val="FF0000"/>
                <w:sz w:val="14"/>
                <w:szCs w:val="14"/>
              </w:rPr>
              <w:t>Variation Organisms Populations. Classification Characteristics Environment, flowering, nonflowering, plants, animals, vertebrates, fish, amphibians, reptiles, mammals, invertebrate, human impact, nature reserves, deforestation. Classify, compare, bacteria, microorganism, organism, invertebrates, vertebrates, Linnaean.</w:t>
            </w:r>
          </w:p>
        </w:tc>
      </w:tr>
      <w:tr w:rsidR="004F5C78" w:rsidRPr="004F5C78" w14:paraId="4FBCF1A4" w14:textId="77777777" w:rsidTr="004F5C78">
        <w:trPr>
          <w:cantSplit/>
          <w:trHeight w:val="1134"/>
        </w:trPr>
        <w:tc>
          <w:tcPr>
            <w:tcW w:w="0" w:type="auto"/>
            <w:vMerge/>
            <w:textDirection w:val="btLr"/>
          </w:tcPr>
          <w:p w14:paraId="593B2318" w14:textId="77777777" w:rsidR="004F5C78" w:rsidRPr="004F5C78" w:rsidRDefault="004F5C78" w:rsidP="004F5C78">
            <w:pPr>
              <w:ind w:left="113" w:right="113"/>
              <w:jc w:val="center"/>
              <w:rPr>
                <w:b/>
                <w:bCs/>
                <w:sz w:val="14"/>
                <w:szCs w:val="14"/>
              </w:rPr>
            </w:pPr>
          </w:p>
        </w:tc>
        <w:tc>
          <w:tcPr>
            <w:tcW w:w="465" w:type="dxa"/>
            <w:textDirection w:val="btLr"/>
          </w:tcPr>
          <w:p w14:paraId="4CBE408F" w14:textId="0A6247C7"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Evolution and inheritance</w:t>
            </w:r>
          </w:p>
        </w:tc>
        <w:tc>
          <w:tcPr>
            <w:tcW w:w="4646" w:type="dxa"/>
          </w:tcPr>
          <w:p w14:paraId="39BF9CEB" w14:textId="77777777" w:rsidR="004F5C78" w:rsidRPr="004F5C78" w:rsidRDefault="004F5C78" w:rsidP="004F5C78">
            <w:pPr>
              <w:rPr>
                <w:sz w:val="14"/>
                <w:szCs w:val="14"/>
              </w:rPr>
            </w:pPr>
          </w:p>
        </w:tc>
        <w:tc>
          <w:tcPr>
            <w:tcW w:w="5986" w:type="dxa"/>
          </w:tcPr>
          <w:p w14:paraId="6EAA4C93"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recognise that living things have changed over time and that fossils provide information about living things that inhabited the Earth millions of years ago</w:t>
            </w:r>
          </w:p>
          <w:p w14:paraId="16489B24"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recognise that living things produce offspring of the same kind, but normally offspring vary and are not identical to their parents       </w:t>
            </w:r>
          </w:p>
          <w:p w14:paraId="7A7471BE"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identify how animals and plants are adapted to suit their environment in different ways and that adaptation may lead to evolution </w:t>
            </w:r>
          </w:p>
          <w:p w14:paraId="06F3BD97" w14:textId="603C72AB" w:rsidR="004F5C78" w:rsidRPr="004F5C78" w:rsidRDefault="004F5C78" w:rsidP="004F5C78">
            <w:pPr>
              <w:rPr>
                <w:sz w:val="14"/>
                <w:szCs w:val="14"/>
              </w:rPr>
            </w:pPr>
            <w:r w:rsidRPr="004F5C78">
              <w:rPr>
                <w:rFonts w:ascii="Calibri Light" w:hAnsi="Calibri Light" w:cs="Calibri Light"/>
                <w:color w:val="FF0000"/>
                <w:sz w:val="14"/>
                <w:szCs w:val="14"/>
              </w:rPr>
              <w:t>Fossils, Adaptation, Evolution, Characteristics, Reproduction, Genetics, Variation, Inherited, Environmental, Mutation, Competition, Survival of the Fittest, Evidence,</w:t>
            </w:r>
          </w:p>
        </w:tc>
      </w:tr>
      <w:tr w:rsidR="00323436" w:rsidRPr="004F5C78" w14:paraId="1FD2234B" w14:textId="77777777" w:rsidTr="004F5C78">
        <w:tc>
          <w:tcPr>
            <w:tcW w:w="0" w:type="auto"/>
            <w:textDirection w:val="btLr"/>
          </w:tcPr>
          <w:p w14:paraId="1E8F0BBA" w14:textId="6188E798" w:rsidR="00362680" w:rsidRPr="004F5C78" w:rsidRDefault="00362680" w:rsidP="00362680">
            <w:pPr>
              <w:ind w:left="113" w:right="113"/>
              <w:jc w:val="center"/>
              <w:rPr>
                <w:b/>
                <w:bCs/>
                <w:sz w:val="14"/>
                <w:szCs w:val="14"/>
              </w:rPr>
            </w:pPr>
            <w:r w:rsidRPr="004F5C78">
              <w:rPr>
                <w:rFonts w:ascii="Calibri" w:hAnsi="Calibri" w:cs="Arial"/>
                <w:b/>
                <w:bCs/>
                <w:color w:val="0000FF"/>
                <w:sz w:val="14"/>
                <w:szCs w:val="14"/>
              </w:rPr>
              <w:t>Chemistry</w:t>
            </w:r>
          </w:p>
        </w:tc>
        <w:tc>
          <w:tcPr>
            <w:tcW w:w="465" w:type="dxa"/>
            <w:textDirection w:val="btLr"/>
          </w:tcPr>
          <w:p w14:paraId="70C1AEAA" w14:textId="3C454DA1" w:rsidR="00362680" w:rsidRPr="004F5C78" w:rsidRDefault="004F5C78" w:rsidP="00362680">
            <w:pPr>
              <w:ind w:left="113" w:right="113"/>
              <w:jc w:val="center"/>
              <w:rPr>
                <w:b/>
                <w:bCs/>
                <w:sz w:val="14"/>
                <w:szCs w:val="14"/>
              </w:rPr>
            </w:pPr>
            <w:r w:rsidRPr="004F5C78">
              <w:rPr>
                <w:rFonts w:ascii="Calibri" w:hAnsi="Calibri" w:cs="Arial"/>
                <w:color w:val="0000FF"/>
                <w:sz w:val="14"/>
                <w:szCs w:val="14"/>
              </w:rPr>
              <w:t>Properties and changes of materials</w:t>
            </w:r>
          </w:p>
        </w:tc>
        <w:tc>
          <w:tcPr>
            <w:tcW w:w="4646" w:type="dxa"/>
          </w:tcPr>
          <w:p w14:paraId="7F855D4E" w14:textId="77777777" w:rsidR="004F5C78" w:rsidRPr="004F5C78" w:rsidRDefault="004F5C78" w:rsidP="004F5C78">
            <w:pPr>
              <w:rPr>
                <w:rFonts w:ascii="Calibri" w:hAnsi="Calibri"/>
                <w:color w:val="0000FF"/>
                <w:sz w:val="14"/>
                <w:szCs w:val="14"/>
              </w:rPr>
            </w:pPr>
            <w:r w:rsidRPr="004F5C78">
              <w:rPr>
                <w:rFonts w:ascii="Calibri" w:hAnsi="Calibri" w:cs="Arial"/>
                <w:color w:val="0000FF"/>
                <w:sz w:val="14"/>
                <w:szCs w:val="14"/>
              </w:rPr>
              <w:t xml:space="preserve">•   </w:t>
            </w:r>
            <w:r w:rsidRPr="004F5C78">
              <w:rPr>
                <w:rFonts w:ascii="Calibri" w:hAnsi="Calibri"/>
                <w:color w:val="0000FF"/>
                <w:sz w:val="14"/>
                <w:szCs w:val="14"/>
              </w:rPr>
              <w:t xml:space="preserve">compare and group together everyday materials on the basis of their properties, including their hardness, solubility, transparency, conductivity (electrical and thermal), and response to magnets </w:t>
            </w:r>
          </w:p>
          <w:p w14:paraId="3A59733F"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w:t>
            </w:r>
            <w:r w:rsidRPr="004F5C78">
              <w:rPr>
                <w:rFonts w:ascii="Calibri" w:hAnsi="Calibri"/>
                <w:color w:val="0000FF"/>
                <w:sz w:val="14"/>
                <w:szCs w:val="14"/>
              </w:rPr>
              <w:t xml:space="preserve">know that some materials will dissolve in liquid to form a solution, and describe how to recover a substance from a solution </w:t>
            </w:r>
          </w:p>
          <w:p w14:paraId="14A6FFBF" w14:textId="77777777" w:rsidR="004F5C78" w:rsidRPr="004F5C78" w:rsidRDefault="004F5C78" w:rsidP="004F5C78">
            <w:pPr>
              <w:pStyle w:val="Default"/>
              <w:rPr>
                <w:rFonts w:ascii="Calibri" w:hAnsi="Calibri"/>
                <w:color w:val="0000FF"/>
                <w:sz w:val="14"/>
                <w:szCs w:val="14"/>
              </w:rPr>
            </w:pPr>
            <w:r w:rsidRPr="004F5C78">
              <w:rPr>
                <w:rFonts w:ascii="Calibri" w:hAnsi="Calibri"/>
                <w:color w:val="0000FF"/>
                <w:sz w:val="14"/>
                <w:szCs w:val="14"/>
              </w:rPr>
              <w:t xml:space="preserve">•   use knowledge of solids, liquids and gases to decide how mixtures might be separated, including through filtering, sieving and evaporating </w:t>
            </w:r>
          </w:p>
          <w:p w14:paraId="65ADFD47" w14:textId="77777777" w:rsidR="004F5C78" w:rsidRPr="004F5C78" w:rsidRDefault="004F5C78" w:rsidP="004F5C78">
            <w:pPr>
              <w:pStyle w:val="Default"/>
              <w:rPr>
                <w:rFonts w:ascii="Calibri" w:hAnsi="Calibri"/>
                <w:color w:val="0000FF"/>
                <w:sz w:val="14"/>
                <w:szCs w:val="14"/>
              </w:rPr>
            </w:pPr>
            <w:r w:rsidRPr="004F5C78">
              <w:rPr>
                <w:rFonts w:ascii="Calibri" w:hAnsi="Calibri"/>
                <w:color w:val="0000FF"/>
                <w:sz w:val="14"/>
                <w:szCs w:val="14"/>
              </w:rPr>
              <w:t xml:space="preserve">•   give reasons, based on evidence from comparative and fair tests, for the particular uses of everyday materials, including metals, wood and plastic </w:t>
            </w:r>
          </w:p>
          <w:p w14:paraId="5EDA8427" w14:textId="77777777" w:rsidR="004F5C78" w:rsidRPr="004F5C78" w:rsidRDefault="004F5C78" w:rsidP="004F5C78">
            <w:pPr>
              <w:pStyle w:val="Default"/>
              <w:rPr>
                <w:rFonts w:ascii="Calibri" w:hAnsi="Calibri"/>
                <w:color w:val="0000FF"/>
                <w:sz w:val="14"/>
                <w:szCs w:val="14"/>
              </w:rPr>
            </w:pPr>
            <w:r w:rsidRPr="004F5C78">
              <w:rPr>
                <w:rFonts w:ascii="Calibri" w:hAnsi="Calibri"/>
                <w:color w:val="0000FF"/>
                <w:sz w:val="14"/>
                <w:szCs w:val="14"/>
              </w:rPr>
              <w:t xml:space="preserve">•   demonstrate that dissolving, mixing and changes of state are reversible changes </w:t>
            </w:r>
          </w:p>
          <w:p w14:paraId="000CB393" w14:textId="77777777" w:rsidR="004F5C78" w:rsidRPr="004F5C78" w:rsidRDefault="004F5C78" w:rsidP="004F5C78">
            <w:pPr>
              <w:pStyle w:val="Default"/>
              <w:rPr>
                <w:rFonts w:ascii="Calibri" w:hAnsi="Calibri"/>
                <w:color w:val="0000FF"/>
                <w:sz w:val="14"/>
                <w:szCs w:val="14"/>
              </w:rPr>
            </w:pPr>
            <w:r w:rsidRPr="004F5C78">
              <w:rPr>
                <w:rFonts w:ascii="Calibri" w:hAnsi="Calibri"/>
                <w:color w:val="0000FF"/>
                <w:sz w:val="14"/>
                <w:szCs w:val="14"/>
              </w:rPr>
              <w:t xml:space="preserve">•   explain that some changes result in the formation of new materials, and that this kind of change is not usually reversible, including changes associated with burning and the action of acid on bicarbonate of soda. </w:t>
            </w:r>
          </w:p>
          <w:p w14:paraId="5156B6A1" w14:textId="0251B4FF" w:rsidR="00362680" w:rsidRPr="004F5C78" w:rsidRDefault="004F5C78" w:rsidP="004F5C78">
            <w:pPr>
              <w:rPr>
                <w:sz w:val="14"/>
                <w:szCs w:val="14"/>
              </w:rPr>
            </w:pPr>
            <w:r w:rsidRPr="004F5C78">
              <w:rPr>
                <w:rFonts w:ascii="Calibri Light" w:hAnsi="Calibri Light" w:cs="Calibri Light"/>
                <w:color w:val="FF0000"/>
                <w:sz w:val="14"/>
                <w:szCs w:val="14"/>
              </w:rPr>
              <w:t>hardness, Solubility, Transparency, Conductivity, Magnetic, Filter, Evaporation, Dissolving, Mixing Material, conductor, dissolve, insoluble, suspension, chemical, physical, irreversible, solution, reversable, separate, mixture, insulator, transparent, flexible, permeable, soluble, property, magnetic, hard.</w:t>
            </w:r>
          </w:p>
        </w:tc>
        <w:tc>
          <w:tcPr>
            <w:tcW w:w="5986" w:type="dxa"/>
          </w:tcPr>
          <w:p w14:paraId="06A91688" w14:textId="77777777" w:rsidR="00362680" w:rsidRPr="004F5C78" w:rsidRDefault="00362680" w:rsidP="00362680">
            <w:pPr>
              <w:rPr>
                <w:sz w:val="14"/>
                <w:szCs w:val="14"/>
              </w:rPr>
            </w:pPr>
          </w:p>
        </w:tc>
      </w:tr>
      <w:tr w:rsidR="004F5C78" w:rsidRPr="004F5C78" w14:paraId="1ED6B3F4" w14:textId="77777777" w:rsidTr="004F5C78">
        <w:tc>
          <w:tcPr>
            <w:tcW w:w="0" w:type="auto"/>
            <w:vMerge w:val="restart"/>
            <w:textDirection w:val="btLr"/>
          </w:tcPr>
          <w:p w14:paraId="28D8E225" w14:textId="3F20059E" w:rsidR="004F5C78" w:rsidRPr="004F5C78" w:rsidRDefault="004F5C78" w:rsidP="004F5C78">
            <w:pPr>
              <w:ind w:left="113" w:right="113"/>
              <w:jc w:val="center"/>
              <w:rPr>
                <w:b/>
                <w:bCs/>
                <w:sz w:val="14"/>
                <w:szCs w:val="14"/>
              </w:rPr>
            </w:pPr>
            <w:r w:rsidRPr="004F5C78">
              <w:rPr>
                <w:rFonts w:ascii="Calibri" w:hAnsi="Calibri" w:cs="Arial"/>
                <w:b/>
                <w:bCs/>
                <w:color w:val="0000FF"/>
                <w:sz w:val="14"/>
                <w:szCs w:val="14"/>
              </w:rPr>
              <w:t>Physics</w:t>
            </w:r>
          </w:p>
        </w:tc>
        <w:tc>
          <w:tcPr>
            <w:tcW w:w="465" w:type="dxa"/>
            <w:textDirection w:val="btLr"/>
          </w:tcPr>
          <w:p w14:paraId="2368661B" w14:textId="32E47AE6"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Light</w:t>
            </w:r>
          </w:p>
        </w:tc>
        <w:tc>
          <w:tcPr>
            <w:tcW w:w="4646" w:type="dxa"/>
          </w:tcPr>
          <w:p w14:paraId="7721EA47" w14:textId="1A999522" w:rsidR="004F5C78" w:rsidRPr="004F5C78" w:rsidRDefault="004F5C78" w:rsidP="004F5C78">
            <w:pPr>
              <w:rPr>
                <w:sz w:val="14"/>
                <w:szCs w:val="14"/>
              </w:rPr>
            </w:pPr>
          </w:p>
        </w:tc>
        <w:tc>
          <w:tcPr>
            <w:tcW w:w="5986" w:type="dxa"/>
          </w:tcPr>
          <w:p w14:paraId="79174785" w14:textId="77777777" w:rsidR="004F5C78" w:rsidRPr="004F5C78" w:rsidRDefault="004F5C78" w:rsidP="004F5C78">
            <w:pPr>
              <w:rPr>
                <w:rFonts w:ascii="Calibri" w:hAnsi="Calibri" w:cs="Wingdings"/>
                <w:color w:val="0000FF"/>
                <w:sz w:val="14"/>
                <w:szCs w:val="14"/>
              </w:rPr>
            </w:pPr>
            <w:r w:rsidRPr="004F5C78">
              <w:rPr>
                <w:rFonts w:ascii="Calibri" w:hAnsi="Calibri" w:cs="Arial"/>
                <w:color w:val="0000FF"/>
                <w:sz w:val="14"/>
                <w:szCs w:val="14"/>
              </w:rPr>
              <w:t xml:space="preserve">• </w:t>
            </w:r>
            <w:r w:rsidRPr="004F5C78">
              <w:rPr>
                <w:rFonts w:ascii="Calibri" w:hAnsi="Calibri"/>
                <w:color w:val="0000FF"/>
                <w:sz w:val="14"/>
                <w:szCs w:val="14"/>
              </w:rPr>
              <w:t xml:space="preserve">recognise that light appears to travel in straight lines </w:t>
            </w:r>
          </w:p>
          <w:p w14:paraId="0D1FAA03" w14:textId="77777777" w:rsidR="004F5C78" w:rsidRPr="004F5C78" w:rsidRDefault="004F5C78" w:rsidP="004F5C78">
            <w:pPr>
              <w:rPr>
                <w:rFonts w:ascii="Calibri" w:hAnsi="Calibri" w:cs="Wingdings"/>
                <w:color w:val="0000FF"/>
                <w:sz w:val="14"/>
                <w:szCs w:val="14"/>
              </w:rPr>
            </w:pPr>
            <w:r w:rsidRPr="004F5C78">
              <w:rPr>
                <w:rFonts w:ascii="Calibri" w:hAnsi="Calibri" w:cs="Arial"/>
                <w:color w:val="0000FF"/>
                <w:sz w:val="14"/>
                <w:szCs w:val="14"/>
              </w:rPr>
              <w:t xml:space="preserve">• </w:t>
            </w:r>
            <w:r w:rsidRPr="004F5C78">
              <w:rPr>
                <w:rFonts w:ascii="Calibri" w:hAnsi="Calibri"/>
                <w:color w:val="0000FF"/>
                <w:sz w:val="14"/>
                <w:szCs w:val="14"/>
              </w:rPr>
              <w:t xml:space="preserve">use the idea that light travels in straight lines to explain that objects are seen because they give out or reflect light into the eye </w:t>
            </w:r>
          </w:p>
          <w:p w14:paraId="12C9EFC3" w14:textId="77777777" w:rsidR="004F5C78" w:rsidRPr="004F5C78" w:rsidRDefault="004F5C78" w:rsidP="004F5C78">
            <w:pPr>
              <w:rPr>
                <w:rFonts w:ascii="Calibri" w:hAnsi="Calibri" w:cs="Wingdings"/>
                <w:color w:val="0000FF"/>
                <w:sz w:val="14"/>
                <w:szCs w:val="14"/>
              </w:rPr>
            </w:pPr>
            <w:r w:rsidRPr="004F5C78">
              <w:rPr>
                <w:rFonts w:ascii="Calibri" w:hAnsi="Calibri" w:cs="Arial"/>
                <w:color w:val="0000FF"/>
                <w:sz w:val="14"/>
                <w:szCs w:val="14"/>
              </w:rPr>
              <w:t xml:space="preserve">• </w:t>
            </w:r>
            <w:r w:rsidRPr="004F5C78">
              <w:rPr>
                <w:rFonts w:ascii="Calibri" w:hAnsi="Calibri"/>
                <w:color w:val="0000FF"/>
                <w:sz w:val="14"/>
                <w:szCs w:val="14"/>
              </w:rPr>
              <w:t xml:space="preserve">explain that we see things because light travels from light sources to our eyes or from light sources to objects and then to our eyes </w:t>
            </w:r>
          </w:p>
          <w:p w14:paraId="67FFC7EE" w14:textId="77777777" w:rsidR="004F5C78" w:rsidRPr="004F5C78" w:rsidRDefault="004F5C78" w:rsidP="004F5C78">
            <w:pPr>
              <w:rPr>
                <w:rFonts w:ascii="Calibri" w:hAnsi="Calibri"/>
                <w:color w:val="0000FF"/>
                <w:sz w:val="14"/>
                <w:szCs w:val="14"/>
              </w:rPr>
            </w:pPr>
            <w:r w:rsidRPr="004F5C78">
              <w:rPr>
                <w:rFonts w:ascii="Calibri" w:hAnsi="Calibri" w:cs="Arial"/>
                <w:color w:val="0000FF"/>
                <w:sz w:val="14"/>
                <w:szCs w:val="14"/>
              </w:rPr>
              <w:t xml:space="preserve">• </w:t>
            </w:r>
            <w:r w:rsidRPr="004F5C78">
              <w:rPr>
                <w:rFonts w:ascii="Calibri" w:hAnsi="Calibri"/>
                <w:color w:val="0000FF"/>
                <w:sz w:val="14"/>
                <w:szCs w:val="14"/>
              </w:rPr>
              <w:t xml:space="preserve">use the idea that light travels in straight lines to explain why shadows have the same shape as the objects that cast them. </w:t>
            </w:r>
          </w:p>
          <w:p w14:paraId="6B25A924" w14:textId="5AA5E939" w:rsidR="004F5C78" w:rsidRPr="004F5C78" w:rsidRDefault="004F5C78" w:rsidP="004F5C78">
            <w:pPr>
              <w:rPr>
                <w:sz w:val="14"/>
                <w:szCs w:val="14"/>
              </w:rPr>
            </w:pPr>
            <w:r w:rsidRPr="004F5C78">
              <w:rPr>
                <w:rFonts w:ascii="Calibri Light" w:hAnsi="Calibri Light" w:cs="Calibri Light"/>
                <w:color w:val="FF0000"/>
                <w:sz w:val="14"/>
                <w:szCs w:val="14"/>
              </w:rPr>
              <w:t>Light source, dark, reflect, ray, mirror, bounce, visible, beam, sun, glare, travel, straight, opaque, shadow, block, transparent, translucent. Reflect Absorb Emitted Scattered Refraction</w:t>
            </w:r>
          </w:p>
        </w:tc>
      </w:tr>
      <w:tr w:rsidR="004F5C78" w:rsidRPr="004F5C78" w14:paraId="503FB50E" w14:textId="77777777" w:rsidTr="004F5C78">
        <w:tc>
          <w:tcPr>
            <w:tcW w:w="0" w:type="auto"/>
            <w:vMerge/>
            <w:textDirection w:val="btLr"/>
          </w:tcPr>
          <w:p w14:paraId="02C0A970" w14:textId="77777777" w:rsidR="004F5C78" w:rsidRPr="004F5C78" w:rsidRDefault="004F5C78" w:rsidP="004F5C78">
            <w:pPr>
              <w:ind w:left="113" w:right="113"/>
              <w:jc w:val="center"/>
              <w:rPr>
                <w:b/>
                <w:bCs/>
                <w:sz w:val="14"/>
                <w:szCs w:val="14"/>
              </w:rPr>
            </w:pPr>
          </w:p>
        </w:tc>
        <w:tc>
          <w:tcPr>
            <w:tcW w:w="465" w:type="dxa"/>
            <w:textDirection w:val="btLr"/>
          </w:tcPr>
          <w:p w14:paraId="3430DF71" w14:textId="2B3B2631"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Electricity</w:t>
            </w:r>
          </w:p>
        </w:tc>
        <w:tc>
          <w:tcPr>
            <w:tcW w:w="4646" w:type="dxa"/>
          </w:tcPr>
          <w:p w14:paraId="51F8BCE8" w14:textId="29F121E6" w:rsidR="004F5C78" w:rsidRPr="004F5C78" w:rsidRDefault="004F5C78" w:rsidP="004F5C78">
            <w:pPr>
              <w:rPr>
                <w:sz w:val="14"/>
                <w:szCs w:val="14"/>
              </w:rPr>
            </w:pPr>
          </w:p>
        </w:tc>
        <w:tc>
          <w:tcPr>
            <w:tcW w:w="5986" w:type="dxa"/>
          </w:tcPr>
          <w:p w14:paraId="22AE4781"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associate the brightness of a lamp or the volume of a buzzer with the number and voltage of cells used in the circuit </w:t>
            </w:r>
          </w:p>
          <w:p w14:paraId="12F9D644"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compare and give reasons for variations in how components function, including the brightness of bulbs, the loudness of buzzers and the on/off position of switches. </w:t>
            </w:r>
          </w:p>
          <w:p w14:paraId="159D9D3D"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use recognised symbols when representing a simple circuit in a diagram</w:t>
            </w:r>
          </w:p>
          <w:p w14:paraId="4E73EC5E" w14:textId="5AA5D8EB" w:rsidR="004F5C78" w:rsidRPr="004F5C78" w:rsidRDefault="004F5C78" w:rsidP="004F5C78">
            <w:pPr>
              <w:rPr>
                <w:sz w:val="14"/>
                <w:szCs w:val="14"/>
              </w:rPr>
            </w:pPr>
            <w:r w:rsidRPr="004F5C78">
              <w:rPr>
                <w:rFonts w:ascii="Calibri Light" w:hAnsi="Calibri Light" w:cs="Calibri Light"/>
                <w:color w:val="FF0000"/>
                <w:sz w:val="14"/>
                <w:szCs w:val="14"/>
              </w:rPr>
              <w:t>Electricity, electric current, appliances, mains, crocodile clips, wires, bulb, battery cell, battery holder, motor, buzzer, switch, conductor, electrical insulator, component</w:t>
            </w:r>
            <w:r w:rsidRPr="004F5C78">
              <w:rPr>
                <w:rFonts w:ascii="Calibri" w:hAnsi="Calibri" w:cs="Arial"/>
                <w:color w:val="0000FF"/>
                <w:sz w:val="14"/>
                <w:szCs w:val="14"/>
              </w:rPr>
              <w:t>.</w:t>
            </w:r>
          </w:p>
        </w:tc>
      </w:tr>
      <w:tr w:rsidR="004F5C78" w:rsidRPr="004F5C78" w14:paraId="45E799E8" w14:textId="77777777" w:rsidTr="004F5C78">
        <w:trPr>
          <w:trHeight w:val="948"/>
        </w:trPr>
        <w:tc>
          <w:tcPr>
            <w:tcW w:w="0" w:type="auto"/>
            <w:vMerge/>
          </w:tcPr>
          <w:p w14:paraId="3711AAEF" w14:textId="77777777" w:rsidR="004F5C78" w:rsidRPr="004F5C78" w:rsidRDefault="004F5C78" w:rsidP="004F5C78">
            <w:pPr>
              <w:ind w:left="113" w:right="113"/>
              <w:jc w:val="center"/>
              <w:rPr>
                <w:b/>
                <w:bCs/>
                <w:sz w:val="14"/>
                <w:szCs w:val="14"/>
              </w:rPr>
            </w:pPr>
          </w:p>
        </w:tc>
        <w:tc>
          <w:tcPr>
            <w:tcW w:w="465" w:type="dxa"/>
            <w:textDirection w:val="btLr"/>
          </w:tcPr>
          <w:p w14:paraId="3BD76C4A" w14:textId="6579F3AF"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Forces</w:t>
            </w:r>
          </w:p>
        </w:tc>
        <w:tc>
          <w:tcPr>
            <w:tcW w:w="4646" w:type="dxa"/>
          </w:tcPr>
          <w:p w14:paraId="6332A91D"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explain that unsupported objects fall towards the Earth because of the force of gravity acting between the Earth and the falling object. </w:t>
            </w:r>
          </w:p>
          <w:p w14:paraId="298EB1E7"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identify the effects </w:t>
            </w:r>
            <w:proofErr w:type="gramStart"/>
            <w:r w:rsidRPr="004F5C78">
              <w:rPr>
                <w:rFonts w:ascii="Calibri" w:hAnsi="Calibri" w:cs="Arial"/>
                <w:color w:val="0000FF"/>
                <w:sz w:val="14"/>
                <w:szCs w:val="14"/>
              </w:rPr>
              <w:t>of  air</w:t>
            </w:r>
            <w:proofErr w:type="gramEnd"/>
            <w:r w:rsidRPr="004F5C78">
              <w:rPr>
                <w:rFonts w:ascii="Calibri" w:hAnsi="Calibri" w:cs="Arial"/>
                <w:color w:val="0000FF"/>
                <w:sz w:val="14"/>
                <w:szCs w:val="14"/>
              </w:rPr>
              <w:t xml:space="preserve"> resistance, water resistance and friction, that act between moving surfaces</w:t>
            </w:r>
          </w:p>
          <w:p w14:paraId="624BA1C4"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recognise that some mechanisms, including levers, pulleys and gears, allow a smaller force to have a greater effect. </w:t>
            </w:r>
          </w:p>
          <w:p w14:paraId="52622813" w14:textId="0A89B48C" w:rsidR="004F5C78" w:rsidRPr="004F5C78" w:rsidRDefault="004F5C78" w:rsidP="004F5C78">
            <w:pPr>
              <w:rPr>
                <w:sz w:val="14"/>
                <w:szCs w:val="14"/>
              </w:rPr>
            </w:pPr>
            <w:r w:rsidRPr="004F5C78">
              <w:rPr>
                <w:rFonts w:ascii="Calibri Light" w:hAnsi="Calibri Light" w:cs="Calibri Light"/>
                <w:color w:val="FF0000"/>
                <w:sz w:val="14"/>
                <w:szCs w:val="14"/>
              </w:rPr>
              <w:t>Air resistance, Water resistance, Friction, Gravity, Newton, Gears, Pulleys, force, push, pull, opposing, streamline, brake, mechanism, lever, cog, machine, pulley</w:t>
            </w:r>
            <w:r w:rsidRPr="004F5C78">
              <w:rPr>
                <w:sz w:val="14"/>
                <w:szCs w:val="14"/>
              </w:rPr>
              <w:t>.</w:t>
            </w:r>
          </w:p>
        </w:tc>
        <w:tc>
          <w:tcPr>
            <w:tcW w:w="5986" w:type="dxa"/>
          </w:tcPr>
          <w:p w14:paraId="1AA84EE6" w14:textId="5FE01841" w:rsidR="004F5C78" w:rsidRPr="004F5C78" w:rsidRDefault="004F5C78" w:rsidP="004F5C78">
            <w:pPr>
              <w:rPr>
                <w:sz w:val="14"/>
                <w:szCs w:val="14"/>
              </w:rPr>
            </w:pPr>
          </w:p>
        </w:tc>
      </w:tr>
      <w:tr w:rsidR="004F5C78" w:rsidRPr="004F5C78" w14:paraId="377F0E5A" w14:textId="77777777" w:rsidTr="004F5C78">
        <w:trPr>
          <w:trHeight w:val="948"/>
        </w:trPr>
        <w:tc>
          <w:tcPr>
            <w:tcW w:w="0" w:type="auto"/>
            <w:vMerge/>
          </w:tcPr>
          <w:p w14:paraId="610836A4" w14:textId="77777777" w:rsidR="004F5C78" w:rsidRPr="004F5C78" w:rsidRDefault="004F5C78" w:rsidP="004F5C78">
            <w:pPr>
              <w:ind w:left="113" w:right="113"/>
              <w:jc w:val="center"/>
              <w:rPr>
                <w:b/>
                <w:bCs/>
                <w:sz w:val="14"/>
                <w:szCs w:val="14"/>
              </w:rPr>
            </w:pPr>
          </w:p>
        </w:tc>
        <w:tc>
          <w:tcPr>
            <w:tcW w:w="465" w:type="dxa"/>
            <w:textDirection w:val="btLr"/>
          </w:tcPr>
          <w:p w14:paraId="132517DC" w14:textId="12867637" w:rsidR="004F5C78" w:rsidRPr="004F5C78" w:rsidRDefault="004F5C78" w:rsidP="004F5C78">
            <w:pPr>
              <w:ind w:left="113" w:right="113"/>
              <w:jc w:val="center"/>
              <w:rPr>
                <w:b/>
                <w:bCs/>
                <w:sz w:val="14"/>
                <w:szCs w:val="14"/>
              </w:rPr>
            </w:pPr>
            <w:r w:rsidRPr="004F5C78">
              <w:rPr>
                <w:rFonts w:ascii="Calibri" w:hAnsi="Calibri" w:cs="Arial"/>
                <w:color w:val="0000FF"/>
                <w:sz w:val="14"/>
                <w:szCs w:val="14"/>
              </w:rPr>
              <w:t>Earth and Space</w:t>
            </w:r>
          </w:p>
        </w:tc>
        <w:tc>
          <w:tcPr>
            <w:tcW w:w="4646" w:type="dxa"/>
          </w:tcPr>
          <w:p w14:paraId="330F54B3"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xml:space="preserve">•  describe the movement of the Earth, and other </w:t>
            </w:r>
            <w:proofErr w:type="gramStart"/>
            <w:r w:rsidRPr="004F5C78">
              <w:rPr>
                <w:rFonts w:ascii="Calibri" w:hAnsi="Calibri" w:cs="Arial"/>
                <w:color w:val="0000FF"/>
                <w:sz w:val="14"/>
                <w:szCs w:val="14"/>
              </w:rPr>
              <w:t>planets,  relative</w:t>
            </w:r>
            <w:proofErr w:type="gramEnd"/>
            <w:r w:rsidRPr="004F5C78">
              <w:rPr>
                <w:rFonts w:ascii="Calibri" w:hAnsi="Calibri" w:cs="Arial"/>
                <w:color w:val="0000FF"/>
                <w:sz w:val="14"/>
                <w:szCs w:val="14"/>
              </w:rPr>
              <w:t xml:space="preserve"> to the Sun in the solar system</w:t>
            </w:r>
          </w:p>
          <w:p w14:paraId="6E311DC2"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describe the movement of the Moon relative to the Earth</w:t>
            </w:r>
          </w:p>
          <w:p w14:paraId="6D4F874C" w14:textId="77777777" w:rsidR="004F5C78" w:rsidRPr="004F5C78" w:rsidRDefault="004F5C78" w:rsidP="004F5C78">
            <w:pPr>
              <w:rPr>
                <w:rFonts w:ascii="Calibri" w:hAnsi="Calibri" w:cs="Arial"/>
                <w:color w:val="0000FF"/>
                <w:sz w:val="14"/>
                <w:szCs w:val="14"/>
              </w:rPr>
            </w:pPr>
            <w:r w:rsidRPr="004F5C78">
              <w:rPr>
                <w:rFonts w:ascii="Calibri" w:hAnsi="Calibri" w:cs="Arial"/>
                <w:color w:val="0000FF"/>
                <w:sz w:val="14"/>
                <w:szCs w:val="14"/>
              </w:rPr>
              <w:t>•  describe the Sun, Earth and Moon as approximately spherical bodies</w:t>
            </w:r>
          </w:p>
          <w:p w14:paraId="11110414" w14:textId="1F065723" w:rsidR="004F5C78" w:rsidRPr="004F5C78" w:rsidRDefault="004F5C78" w:rsidP="004F5C78">
            <w:pPr>
              <w:rPr>
                <w:sz w:val="14"/>
                <w:szCs w:val="14"/>
              </w:rPr>
            </w:pPr>
            <w:r w:rsidRPr="004F5C78">
              <w:rPr>
                <w:rFonts w:ascii="Calibri" w:hAnsi="Calibri" w:cs="Arial"/>
                <w:color w:val="0000FF"/>
                <w:sz w:val="14"/>
                <w:szCs w:val="14"/>
              </w:rPr>
              <w:t>•  use the idea of the Earth’s rotation to explain day and night and that apparent movement of the sun across the sky.</w:t>
            </w:r>
          </w:p>
        </w:tc>
        <w:tc>
          <w:tcPr>
            <w:tcW w:w="5986" w:type="dxa"/>
          </w:tcPr>
          <w:p w14:paraId="54D62CBC" w14:textId="51499C2D" w:rsidR="004F5C78" w:rsidRPr="004F5C78" w:rsidRDefault="004F5C78" w:rsidP="004F5C78">
            <w:pPr>
              <w:rPr>
                <w:sz w:val="14"/>
                <w:szCs w:val="14"/>
              </w:rPr>
            </w:pPr>
            <w:r w:rsidRPr="004F5C78">
              <w:rPr>
                <w:rFonts w:ascii="Calibri Light" w:hAnsi="Calibri Light" w:cs="Calibri Light"/>
                <w:color w:val="FF0000"/>
                <w:sz w:val="14"/>
                <w:szCs w:val="14"/>
              </w:rPr>
              <w:t>Earth, Sun, Moon, Axis, Rotation, Day, Night, Phases of the Moon, star,</w:t>
            </w:r>
            <w:r w:rsidRPr="004F5C78">
              <w:rPr>
                <w:color w:val="FF0000"/>
                <w:sz w:val="14"/>
                <w:szCs w:val="14"/>
              </w:rPr>
              <w:t xml:space="preserve"> constellation, waxing, waning, crescent, gibbous. Mercury, Venus, Mars, Jupiter, Saturn, Uranus, Neptune, planets, solar system, day, night, rotate, orbit, axis, spherical, geocentric, heliocentric.</w:t>
            </w:r>
          </w:p>
        </w:tc>
      </w:tr>
    </w:tbl>
    <w:p w14:paraId="2DD9D464" w14:textId="77777777" w:rsidR="00FD7F6D" w:rsidRPr="004F5C78" w:rsidRDefault="00FD7F6D" w:rsidP="00FD7F6D">
      <w:pPr>
        <w:rPr>
          <w:sz w:val="14"/>
          <w:szCs w:val="14"/>
        </w:rPr>
      </w:pPr>
    </w:p>
    <w:sectPr w:rsidR="00FD7F6D" w:rsidRPr="004F5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6D"/>
    <w:rsid w:val="001006D7"/>
    <w:rsid w:val="00323436"/>
    <w:rsid w:val="00362680"/>
    <w:rsid w:val="00387227"/>
    <w:rsid w:val="00466C75"/>
    <w:rsid w:val="004F5C78"/>
    <w:rsid w:val="009C27D7"/>
    <w:rsid w:val="00D36469"/>
    <w:rsid w:val="00FB1031"/>
    <w:rsid w:val="00FD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980C3B"/>
  <w15:chartTrackingRefBased/>
  <w15:docId w15:val="{EE06484C-DD67-4E4D-A024-69FB3CEE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F6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F6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D7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680"/>
    <w:pPr>
      <w:autoSpaceDE w:val="0"/>
      <w:autoSpaceDN w:val="0"/>
      <w:adjustRightInd w:val="0"/>
    </w:pPr>
    <w:rPr>
      <w:rFonts w:ascii="Arial" w:eastAsia="MS Mincho"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Hammond</dc:creator>
  <cp:keywords/>
  <dc:description/>
  <cp:lastModifiedBy>Ralph Hammond</cp:lastModifiedBy>
  <cp:revision>2</cp:revision>
  <dcterms:created xsi:type="dcterms:W3CDTF">2022-03-03T19:03:00Z</dcterms:created>
  <dcterms:modified xsi:type="dcterms:W3CDTF">2022-03-03T19:03:00Z</dcterms:modified>
</cp:coreProperties>
</file>